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07" w:rsidRPr="00254345" w:rsidRDefault="00E06B07" w:rsidP="00E0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45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254345">
        <w:rPr>
          <w:rFonts w:ascii="Times New Roman" w:hAnsi="Times New Roman" w:cs="Times New Roman"/>
          <w:sz w:val="28"/>
          <w:szCs w:val="28"/>
        </w:rPr>
        <w:t xml:space="preserve"> Какими правовыми документами нужно руководствоваться при реализации полномочия по проведению оценки реализуемости, рисков и результатов достижения целей социально-экономического развития МО, предусмотренных документами стратегического планирования МО?</w:t>
      </w:r>
    </w:p>
    <w:p w:rsidR="00E06B07" w:rsidRPr="00254345" w:rsidRDefault="00E06B07" w:rsidP="00E0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45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254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B07" w:rsidRPr="00254345" w:rsidRDefault="00E06B07" w:rsidP="00E0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45">
        <w:rPr>
          <w:rFonts w:ascii="Times New Roman" w:hAnsi="Times New Roman" w:cs="Times New Roman"/>
          <w:sz w:val="28"/>
          <w:szCs w:val="28"/>
        </w:rPr>
        <w:t xml:space="preserve">1. Федеральный закон от 28.06.2014 № 172-ФЗ "О стратегическом планировании в Российской Федерации" (статья 6., ч. 3 статьи 9, ч. 5 ст. 11 </w:t>
      </w:r>
      <w:r w:rsidRPr="00254345">
        <w:rPr>
          <w:rFonts w:ascii="Times New Roman" w:hAnsi="Times New Roman" w:cs="Times New Roman"/>
          <w:i/>
          <w:sz w:val="28"/>
          <w:szCs w:val="28"/>
        </w:rPr>
        <w:t xml:space="preserve">(документы стратегического планирования, разрабатываемые на уровне муниципального образования:1) стратегия социально-экономического развития муниципального образования; 2) план мероприятий по реализации стратегии социально-экономического развития муниципального образования; 3) прогноз социально-экономического развития муниципального образования на среднесрочный или долгосрочный период; 4) бюджетный прогноз муниципального образования на долгосрочный период; 5) муниципальные программы, </w:t>
      </w:r>
      <w:r w:rsidRPr="00254345">
        <w:rPr>
          <w:rFonts w:ascii="Times New Roman" w:hAnsi="Times New Roman" w:cs="Times New Roman"/>
          <w:sz w:val="28"/>
          <w:szCs w:val="28"/>
        </w:rPr>
        <w:t>ст. 40).</w:t>
      </w:r>
    </w:p>
    <w:p w:rsidR="00E06B07" w:rsidRPr="00254345" w:rsidRDefault="00E06B07" w:rsidP="00E0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45">
        <w:rPr>
          <w:rFonts w:ascii="Times New Roman" w:hAnsi="Times New Roman" w:cs="Times New Roman"/>
          <w:sz w:val="28"/>
          <w:szCs w:val="28"/>
        </w:rPr>
        <w:t xml:space="preserve">2. Бюджетный кодекс (ст. 37. </w:t>
      </w:r>
      <w:r w:rsidRPr="00254345">
        <w:rPr>
          <w:rFonts w:ascii="Times New Roman" w:hAnsi="Times New Roman" w:cs="Times New Roman"/>
          <w:i/>
          <w:sz w:val="28"/>
          <w:szCs w:val="28"/>
        </w:rPr>
        <w:t>(Принцип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бюджета).</w:t>
      </w:r>
      <w:r w:rsidRPr="00254345">
        <w:rPr>
          <w:rFonts w:ascii="Times New Roman" w:hAnsi="Times New Roman" w:cs="Times New Roman"/>
          <w:sz w:val="28"/>
          <w:szCs w:val="28"/>
        </w:rPr>
        <w:t xml:space="preserve">, ст. 170.1 </w:t>
      </w:r>
      <w:r w:rsidRPr="00254345">
        <w:rPr>
          <w:rFonts w:ascii="Times New Roman" w:hAnsi="Times New Roman" w:cs="Times New Roman"/>
          <w:i/>
          <w:sz w:val="28"/>
          <w:szCs w:val="28"/>
        </w:rPr>
        <w:t>Долгосрочное бюджетное планирование)</w:t>
      </w:r>
      <w:r w:rsidRPr="00254345">
        <w:rPr>
          <w:rFonts w:ascii="Times New Roman" w:hAnsi="Times New Roman" w:cs="Times New Roman"/>
          <w:sz w:val="28"/>
          <w:szCs w:val="28"/>
        </w:rPr>
        <w:t>, ст. 172</w:t>
      </w:r>
      <w:r w:rsidRPr="00254345">
        <w:rPr>
          <w:sz w:val="28"/>
          <w:szCs w:val="28"/>
        </w:rPr>
        <w:t xml:space="preserve"> </w:t>
      </w:r>
      <w:r w:rsidRPr="00254345">
        <w:rPr>
          <w:rFonts w:ascii="Times New Roman" w:hAnsi="Times New Roman" w:cs="Times New Roman"/>
          <w:i/>
          <w:sz w:val="28"/>
          <w:szCs w:val="28"/>
        </w:rPr>
        <w:t>Сведения, необходимые для составления проектов бюджетов</w:t>
      </w:r>
      <w:r w:rsidRPr="00254345">
        <w:rPr>
          <w:rFonts w:ascii="Times New Roman" w:hAnsi="Times New Roman" w:cs="Times New Roman"/>
          <w:sz w:val="28"/>
          <w:szCs w:val="28"/>
        </w:rPr>
        <w:t xml:space="preserve">, ст. 173 </w:t>
      </w:r>
      <w:r w:rsidRPr="00254345">
        <w:rPr>
          <w:rFonts w:ascii="Times New Roman" w:hAnsi="Times New Roman" w:cs="Times New Roman"/>
          <w:i/>
          <w:sz w:val="28"/>
          <w:szCs w:val="28"/>
        </w:rPr>
        <w:t>Прогноз социально-экономического развития</w:t>
      </w:r>
      <w:r w:rsidRPr="00254345">
        <w:rPr>
          <w:rFonts w:ascii="Times New Roman" w:hAnsi="Times New Roman" w:cs="Times New Roman"/>
          <w:sz w:val="28"/>
          <w:szCs w:val="28"/>
        </w:rPr>
        <w:t>, ст. 174</w:t>
      </w:r>
      <w:r w:rsidRPr="00254345">
        <w:rPr>
          <w:sz w:val="28"/>
          <w:szCs w:val="28"/>
        </w:rPr>
        <w:t xml:space="preserve"> </w:t>
      </w:r>
      <w:r w:rsidRPr="00254345">
        <w:rPr>
          <w:rFonts w:ascii="Times New Roman" w:hAnsi="Times New Roman" w:cs="Times New Roman"/>
          <w:i/>
          <w:sz w:val="28"/>
          <w:szCs w:val="28"/>
        </w:rPr>
        <w:t>Среднесрочный финансовый план муниципального образования</w:t>
      </w:r>
      <w:r w:rsidRPr="00254345">
        <w:rPr>
          <w:rFonts w:ascii="Times New Roman" w:hAnsi="Times New Roman" w:cs="Times New Roman"/>
          <w:sz w:val="28"/>
          <w:szCs w:val="28"/>
        </w:rPr>
        <w:t xml:space="preserve">, статья 174.1. </w:t>
      </w:r>
      <w:r w:rsidRPr="00254345">
        <w:rPr>
          <w:rFonts w:ascii="Times New Roman" w:hAnsi="Times New Roman" w:cs="Times New Roman"/>
          <w:i/>
          <w:sz w:val="28"/>
          <w:szCs w:val="28"/>
        </w:rPr>
        <w:t xml:space="preserve">Прогнозирование доходов бюджета </w:t>
      </w:r>
      <w:r w:rsidRPr="00254345">
        <w:rPr>
          <w:rFonts w:ascii="Times New Roman" w:hAnsi="Times New Roman" w:cs="Times New Roman"/>
          <w:sz w:val="28"/>
          <w:szCs w:val="28"/>
        </w:rPr>
        <w:t>и др.</w:t>
      </w:r>
    </w:p>
    <w:p w:rsidR="00E06B07" w:rsidRPr="00254345" w:rsidRDefault="00E06B07" w:rsidP="00E06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45">
        <w:rPr>
          <w:rFonts w:ascii="Times New Roman" w:hAnsi="Times New Roman" w:cs="Times New Roman"/>
          <w:sz w:val="28"/>
          <w:szCs w:val="28"/>
        </w:rPr>
        <w:t xml:space="preserve">3.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 (ст. 9 ч. 2 пункты: 1 (организация и осуществление контроля за законностью и эффективностью использования средств местного бюджета, а также иных средств; 4 (проведение аудита в сфере закупок); 5 (оценка эффективности формирования муниципальной собственности, её управлением и распоряжением); 6 (оценка эффективности предоставления налоговых и иных льгот и преимуществ, бюджетных кредитов) </w:t>
      </w:r>
      <w:r w:rsidRPr="00254345">
        <w:rPr>
          <w:rFonts w:ascii="Times New Roman" w:hAnsi="Times New Roman" w:cs="Times New Roman"/>
          <w:i/>
          <w:sz w:val="28"/>
          <w:szCs w:val="28"/>
        </w:rPr>
        <w:t>Установление рисков</w:t>
      </w:r>
      <w:r w:rsidRPr="00254345">
        <w:rPr>
          <w:rFonts w:ascii="Times New Roman" w:hAnsi="Times New Roman" w:cs="Times New Roman"/>
          <w:sz w:val="28"/>
          <w:szCs w:val="28"/>
        </w:rPr>
        <w:t>; 7 экспертиза проектов муниципальных правовых актов, муниципальных программ (проектов муниципальных программ</w:t>
      </w:r>
      <w:r w:rsidRPr="00254345">
        <w:rPr>
          <w:rFonts w:ascii="Times New Roman" w:hAnsi="Times New Roman" w:cs="Times New Roman"/>
          <w:i/>
          <w:sz w:val="28"/>
          <w:szCs w:val="28"/>
        </w:rPr>
        <w:t>)</w:t>
      </w:r>
      <w:r w:rsidRPr="00254345">
        <w:rPr>
          <w:i/>
          <w:sz w:val="28"/>
          <w:szCs w:val="28"/>
        </w:rPr>
        <w:t xml:space="preserve"> </w:t>
      </w:r>
      <w:r w:rsidRPr="00254345">
        <w:rPr>
          <w:rFonts w:ascii="Times New Roman" w:hAnsi="Times New Roman" w:cs="Times New Roman"/>
          <w:i/>
          <w:sz w:val="28"/>
          <w:szCs w:val="28"/>
        </w:rPr>
        <w:t>Определение рисковых зон</w:t>
      </w:r>
      <w:r w:rsidRPr="00254345">
        <w:rPr>
          <w:rFonts w:ascii="Times New Roman" w:hAnsi="Times New Roman" w:cs="Times New Roman"/>
          <w:sz w:val="28"/>
          <w:szCs w:val="28"/>
        </w:rPr>
        <w:t>;</w:t>
      </w:r>
    </w:p>
    <w:p w:rsidR="00E06B07" w:rsidRPr="00254345" w:rsidRDefault="00E06B07" w:rsidP="00E06B07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345">
        <w:rPr>
          <w:rFonts w:ascii="Times New Roman" w:hAnsi="Times New Roman" w:cs="Times New Roman"/>
          <w:sz w:val="28"/>
          <w:szCs w:val="28"/>
        </w:rPr>
        <w:t>4. Муниципальные правовые акты</w:t>
      </w:r>
    </w:p>
    <w:p w:rsidR="00E06B07" w:rsidRPr="00254345" w:rsidRDefault="00E06B07" w:rsidP="00E06B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345">
        <w:rPr>
          <w:rFonts w:ascii="Times New Roman" w:hAnsi="Times New Roman" w:cs="Times New Roman"/>
          <w:sz w:val="28"/>
          <w:szCs w:val="28"/>
        </w:rPr>
        <w:t xml:space="preserve">5. Нормативные правовые акты КСО МО. </w:t>
      </w:r>
    </w:p>
    <w:p w:rsidR="00E06B07" w:rsidRPr="00254345" w:rsidRDefault="00E06B07" w:rsidP="00E06B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345">
        <w:rPr>
          <w:rFonts w:ascii="Times New Roman" w:hAnsi="Times New Roman" w:cs="Times New Roman"/>
          <w:sz w:val="28"/>
          <w:szCs w:val="28"/>
        </w:rPr>
        <w:t xml:space="preserve">(пример </w:t>
      </w:r>
      <w:r w:rsidRPr="00254345">
        <w:rPr>
          <w:rFonts w:ascii="Times New Roman" w:hAnsi="Times New Roman" w:cs="Times New Roman"/>
          <w:sz w:val="28"/>
          <w:szCs w:val="28"/>
          <w:u w:val="single"/>
        </w:rPr>
        <w:t>"СГА 105. Стандарт внешнего государственного аудита (контроля). Стратегический аудит" (утв. постановлением Коллегии Счетной палаты РФ от 10.11.2020 N 17ПК)</w:t>
      </w:r>
    </w:p>
    <w:p w:rsidR="00E06B07" w:rsidRPr="00254345" w:rsidRDefault="00E06B07" w:rsidP="00E06B07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54345">
        <w:rPr>
          <w:rFonts w:ascii="Times New Roman" w:hAnsi="Times New Roman" w:cs="Times New Roman"/>
          <w:sz w:val="28"/>
          <w:szCs w:val="28"/>
        </w:rPr>
        <w:t xml:space="preserve">Из СГА 105: </w:t>
      </w:r>
      <w:r w:rsidRPr="00254345">
        <w:rPr>
          <w:rFonts w:ascii="Times New Roman" w:hAnsi="Times New Roman" w:cs="Times New Roman"/>
          <w:i/>
          <w:sz w:val="28"/>
          <w:szCs w:val="28"/>
        </w:rPr>
        <w:t xml:space="preserve">В форме оперативного контроля осуществляется постоянный мониторинг реализации программ, в ходе которого проводятся контроль и оценка текущего достижения стратегических целей. В ходе постоянного мониторинга реализации программ также может осуществляться мониторинг рисков и факторов их реализации для формирования оперативного прогноза влияния внутренних и внешних </w:t>
      </w:r>
      <w:r w:rsidRPr="00254345">
        <w:rPr>
          <w:rFonts w:ascii="Times New Roman" w:hAnsi="Times New Roman" w:cs="Times New Roman"/>
          <w:i/>
          <w:sz w:val="28"/>
          <w:szCs w:val="28"/>
        </w:rPr>
        <w:lastRenderedPageBreak/>
        <w:t>условий, в том числе рисков, на достижение стратегических целей программ.</w:t>
      </w:r>
    </w:p>
    <w:p w:rsidR="00E06B07" w:rsidRPr="00254345" w:rsidRDefault="00E06B07" w:rsidP="00E06B07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54345">
        <w:rPr>
          <w:rFonts w:ascii="Times New Roman" w:hAnsi="Times New Roman" w:cs="Times New Roman"/>
          <w:i/>
          <w:sz w:val="28"/>
          <w:szCs w:val="28"/>
        </w:rPr>
        <w:t>В форме последующего аудита (контроля) проводятся контроль и оценка результативности достижения стратегических целей через проверку и анализ фактического уровня достижения целевых значений показателей (индикаторов) соответствующих программ.</w:t>
      </w:r>
      <w:r w:rsidRPr="00254345">
        <w:rPr>
          <w:sz w:val="28"/>
          <w:szCs w:val="28"/>
        </w:rPr>
        <w:t xml:space="preserve"> </w:t>
      </w:r>
      <w:r w:rsidRPr="00254345">
        <w:rPr>
          <w:rFonts w:ascii="Times New Roman" w:hAnsi="Times New Roman" w:cs="Times New Roman"/>
          <w:i/>
          <w:sz w:val="28"/>
          <w:szCs w:val="28"/>
        </w:rPr>
        <w:t>Оценка рисков достижения стратегических целей, предусмотренных программами</w:t>
      </w:r>
    </w:p>
    <w:p w:rsidR="00E06B07" w:rsidRPr="00254345" w:rsidRDefault="00E06B07" w:rsidP="00E06B07">
      <w:pPr>
        <w:spacing w:after="1" w:line="280" w:lineRule="atLeast"/>
        <w:ind w:firstLine="540"/>
        <w:jc w:val="both"/>
        <w:outlineLvl w:val="0"/>
        <w:rPr>
          <w:i/>
          <w:sz w:val="28"/>
          <w:szCs w:val="28"/>
        </w:rPr>
      </w:pPr>
      <w:r w:rsidRPr="00254345">
        <w:rPr>
          <w:rFonts w:ascii="Times New Roman" w:hAnsi="Times New Roman" w:cs="Times New Roman"/>
          <w:i/>
          <w:sz w:val="28"/>
          <w:szCs w:val="28"/>
        </w:rPr>
        <w:t>Стратегический аудит применяется также в рамках комплекса мероприятий Счетной палаты, объединенных предметом аудита (контроля), единой логикой планирования, проведения и обобщения результатов.</w:t>
      </w:r>
    </w:p>
    <w:p w:rsidR="00E06B07" w:rsidRPr="00742F36" w:rsidRDefault="00E06B07" w:rsidP="00E06B07">
      <w:pPr>
        <w:spacing w:before="280" w:after="1" w:line="280" w:lineRule="atLeast"/>
        <w:ind w:firstLine="540"/>
        <w:jc w:val="both"/>
        <w:rPr>
          <w:i/>
        </w:rPr>
      </w:pPr>
    </w:p>
    <w:p w:rsidR="00182210" w:rsidRPr="00E722C0" w:rsidRDefault="00182210" w:rsidP="001822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2210" w:rsidRPr="00E722C0" w:rsidSect="00E722C0">
      <w:foot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CB" w:rsidRDefault="00A973CB" w:rsidP="00E722C0">
      <w:pPr>
        <w:spacing w:after="0" w:line="240" w:lineRule="auto"/>
      </w:pPr>
      <w:r>
        <w:separator/>
      </w:r>
    </w:p>
  </w:endnote>
  <w:endnote w:type="continuationSeparator" w:id="0">
    <w:p w:rsidR="00A973CB" w:rsidRDefault="00A973CB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0" w:rsidRPr="00E722C0" w:rsidRDefault="00E722C0">
    <w:pPr>
      <w:pStyle w:val="a5"/>
      <w:rPr>
        <w:rFonts w:ascii="Calibri" w:eastAsia="Calibri" w:hAnsi="Calibri" w:cs="Times New Roman"/>
        <w:sz w:val="14"/>
        <w:szCs w:val="14"/>
        <w:lang w:val="en-US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E722C0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E722C0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E722C0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>
      <w:rPr>
        <w:rFonts w:ascii="Calibri" w:eastAsia="Calibri" w:hAnsi="Calibri" w:cs="Times New Roman"/>
        <w:noProof/>
        <w:sz w:val="14"/>
        <w:szCs w:val="14"/>
        <w:lang w:val="en-US"/>
      </w:rPr>
      <w:t>C:\Users\fho-03\AppData\Roaming\Microsoft\Шаблоны\Normal.dotm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CB" w:rsidRDefault="00A973CB" w:rsidP="00E722C0">
      <w:pPr>
        <w:spacing w:after="0" w:line="240" w:lineRule="auto"/>
      </w:pPr>
      <w:r>
        <w:separator/>
      </w:r>
    </w:p>
  </w:footnote>
  <w:footnote w:type="continuationSeparator" w:id="0">
    <w:p w:rsidR="00A973CB" w:rsidRDefault="00A973CB" w:rsidP="00E72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CB"/>
    <w:rsid w:val="000345A2"/>
    <w:rsid w:val="00182210"/>
    <w:rsid w:val="002741C4"/>
    <w:rsid w:val="00412BC4"/>
    <w:rsid w:val="007A34C4"/>
    <w:rsid w:val="008F3674"/>
    <w:rsid w:val="00A973CB"/>
    <w:rsid w:val="00AC3CB7"/>
    <w:rsid w:val="00B9154A"/>
    <w:rsid w:val="00E06B07"/>
    <w:rsid w:val="00E722C0"/>
    <w:rsid w:val="00F2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>Контрольно-счетная палата Хабаровского края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Адольфовна</dc:creator>
  <cp:keywords/>
  <dc:description/>
  <cp:lastModifiedBy>Медведева Татьяна Адольфовна</cp:lastModifiedBy>
  <cp:revision>2</cp:revision>
  <cp:lastPrinted>2012-05-17T06:01:00Z</cp:lastPrinted>
  <dcterms:created xsi:type="dcterms:W3CDTF">2022-05-04T07:17:00Z</dcterms:created>
  <dcterms:modified xsi:type="dcterms:W3CDTF">2022-05-04T07:17:00Z</dcterms:modified>
</cp:coreProperties>
</file>